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微软雅黑" w:hAnsi="微软雅黑" w:eastAsia="微软雅黑" w:cs="微软雅黑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32"/>
          <w:szCs w:val="32"/>
          <w:lang w:val="en-US" w:eastAsia="zh-CN"/>
        </w:rPr>
        <w:t>第六周作业解析【港股REITS】电脑端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宋体"/>
          <w:b w:val="0"/>
          <w:bCs w:val="0"/>
          <w:color w:val="0F3BF9"/>
          <w:kern w:val="0"/>
          <w:sz w:val="30"/>
          <w:szCs w:val="30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color w:val="0F3BF9"/>
          <w:kern w:val="0"/>
          <w:sz w:val="30"/>
          <w:szCs w:val="30"/>
          <w:lang w:val="en-US" w:eastAsia="zh-CN"/>
        </w:rPr>
        <w:t>第六周作业解析视频：详见微淼课程学习资料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本周重要操作工具和网址统计</w:t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eastAsia" w:ascii="微软雅黑" w:hAnsi="微软雅黑" w:eastAsia="微软雅黑" w:cs="微软雅黑"/>
          <w:i w:val="0"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olor w:val="auto"/>
          <w:kern w:val="0"/>
          <w:sz w:val="24"/>
          <w:szCs w:val="24"/>
          <w:u w:val="none"/>
          <w:lang w:val="en-US" w:eastAsia="zh-CN" w:bidi="ar"/>
        </w:rPr>
        <w:t>香港REITS查询网址：</w:t>
      </w:r>
    </w:p>
    <w:p>
      <w:pPr>
        <w:numPr>
          <w:ilvl w:val="0"/>
          <w:numId w:val="0"/>
        </w:numPr>
        <w:ind w:leftChars="200"/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</w:pP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fldChar w:fldCharType="begin"/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instrText xml:space="preserve"> HYPERLINK "http://app.finance.ifeng.com/data/hkstock/fundamental.php?symbol=00823&amp;type=Balance" </w:instrTex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t>http://app.finance.ifeng.com/data/hkstock/fundamental.php?symbol=00823&amp;type=Balance</w: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21"/>
          <w:szCs w:val="21"/>
          <w:lang w:val="en-US" w:eastAsia="zh-CN" w:bidi="ar"/>
        </w:rPr>
        <w:fldChar w:fldCharType="end"/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default" w:ascii="微软雅黑" w:hAnsi="微软雅黑" w:eastAsia="微软雅黑" w:cs="微软雅黑"/>
          <w:i w:val="0"/>
          <w:color w:val="auto"/>
          <w:kern w:val="0"/>
          <w:sz w:val="21"/>
          <w:szCs w:val="21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olor w:val="auto"/>
          <w:kern w:val="0"/>
          <w:sz w:val="24"/>
          <w:szCs w:val="24"/>
          <w:u w:val="none"/>
          <w:lang w:val="en-US" w:eastAsia="zh-CN" w:bidi="ar"/>
        </w:rPr>
        <w:t>富途牛牛</w:t>
      </w:r>
    </w:p>
    <w:p>
      <w:pPr>
        <w:numPr>
          <w:ilvl w:val="0"/>
          <w:numId w:val="0"/>
        </w:numPr>
        <w:rPr>
          <w:rStyle w:val="12"/>
          <w:rFonts w:hint="eastAsia" w:ascii="微软雅黑" w:hAnsi="微软雅黑" w:eastAsia="微软雅黑" w:cs="微软雅黑"/>
          <w:i w:val="0"/>
          <w:kern w:val="0"/>
          <w:sz w:val="21"/>
          <w:szCs w:val="21"/>
          <w:lang w:val="en-US" w:eastAsia="zh-CN" w:bidi="ar"/>
        </w:rPr>
      </w:pP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  <w:t>本周计算公式总结：</w:t>
      </w:r>
    </w:p>
    <w:p>
      <w:pPr>
        <w:widowControl/>
        <w:numPr>
          <w:ilvl w:val="0"/>
          <w:numId w:val="2"/>
        </w:numPr>
        <w:ind w:left="420" w:leftChars="0" w:hanging="420" w:firstLineChars="0"/>
        <w:jc w:val="left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港股REITS股息率法好价格 = TTM股息÷10%</w:t>
      </w:r>
    </w:p>
    <w:p>
      <w:pPr>
        <w:widowControl/>
        <w:numPr>
          <w:ilvl w:val="0"/>
          <w:numId w:val="2"/>
        </w:numPr>
        <w:ind w:left="420" w:leftChars="0" w:hanging="420" w:firstLineChars="0"/>
        <w:jc w:val="left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资产负债率=总债项÷总资产×100%</w:t>
      </w:r>
    </w:p>
    <w:p>
      <w:pPr>
        <w:widowControl/>
        <w:numPr>
          <w:ilvl w:val="0"/>
          <w:numId w:val="2"/>
        </w:numPr>
        <w:ind w:left="420" w:leftChars="0" w:hanging="420" w:firstLineChars="0"/>
        <w:jc w:val="left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股息率=TTM股息÷当前股价×100%</w:t>
      </w:r>
    </w:p>
    <w:p>
      <w:pPr>
        <w:widowControl/>
        <w:numPr>
          <w:ilvl w:val="0"/>
          <w:numId w:val="0"/>
        </w:numPr>
        <w:jc w:val="left"/>
        <w:rPr>
          <w:rFonts w:hint="default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olor w:val="0000FF"/>
          <w:sz w:val="18"/>
          <w:szCs w:val="18"/>
        </w:rPr>
        <w:t>备注：</w:t>
      </w:r>
      <w:r>
        <w:rPr>
          <w:rFonts w:hint="eastAsia" w:ascii="微软雅黑" w:hAnsi="微软雅黑" w:eastAsia="微软雅黑" w:cs="微软雅黑"/>
          <w:i w:val="0"/>
          <w:iCs w:val="0"/>
          <w:color w:val="0000FF"/>
          <w:sz w:val="18"/>
          <w:szCs w:val="18"/>
          <w:lang w:val="en-US" w:eastAsia="zh-CN"/>
        </w:rPr>
        <w:t>TTM是最近4个季度的意思</w:t>
      </w: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作业题</w:t>
      </w:r>
    </w:p>
    <w:p>
      <w:pPr>
        <w:widowControl/>
        <w:numPr>
          <w:ilvl w:val="0"/>
          <w:numId w:val="4"/>
        </w:numPr>
        <w:jc w:val="left"/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选出港股中市值大于100亿的REITS，并且计算出以下港股REITS的</w:t>
      </w:r>
      <w:r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好价格。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微软雅黑"/>
          <w:i w:val="0"/>
          <w:iCs w:val="0"/>
          <w:color w:val="0000FF"/>
          <w:sz w:val="20"/>
          <w:szCs w:val="20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0000FF"/>
          <w:sz w:val="20"/>
          <w:szCs w:val="20"/>
          <w:lang w:val="en-US" w:eastAsia="zh-CN"/>
        </w:rPr>
        <w:t>备注：计算领展、置富和越秀的好价格</w:t>
      </w: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/>
        <w:jc w:val="left"/>
        <w:textAlignment w:val="auto"/>
        <w:rPr>
          <w:rFonts w:hint="eastAsia" w:ascii="微软雅黑" w:hAnsi="微软雅黑" w:eastAsia="微软雅黑" w:cs="微软雅黑"/>
          <w:sz w:val="32"/>
          <w:szCs w:val="22"/>
        </w:rPr>
      </w:pPr>
      <w:r>
        <w:rPr>
          <w:rFonts w:hint="eastAsia" w:ascii="微软雅黑" w:hAnsi="微软雅黑" w:eastAsia="微软雅黑" w:cs="微软雅黑"/>
          <w:sz w:val="32"/>
          <w:szCs w:val="22"/>
          <w:lang w:val="en-US" w:eastAsia="zh-CN"/>
        </w:rPr>
        <w:t>选出港股中市值大于100亿的REITS</w:t>
      </w:r>
    </w:p>
    <w:p>
      <w:pPr>
        <w:rPr>
          <w:rFonts w:hint="eastAsia" w:ascii="微软雅黑" w:hAnsi="微软雅黑" w:eastAsia="微软雅黑" w:cs="微软雅黑"/>
          <w:color w:val="000000" w:themeColor="text1"/>
          <w:spacing w:val="1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pacing w:val="1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具体的操作步骤如下: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第1步：打开富途牛牛电脑版行情软件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第2步：点“行情”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第3步：点“港股”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第4步：点倒三角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第5步：点“板块”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第6步：点“行业板块”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；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第7步：点“房地产信托”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rPr>
          <w:rFonts w:hint="default" w:ascii="微软雅黑" w:hAnsi="微软雅黑" w:eastAsia="微软雅黑" w:cs="微软雅黑"/>
          <w:color w:val="0000FF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1"/>
          <w:szCs w:val="21"/>
          <w:lang w:val="en-US" w:eastAsia="zh-CN"/>
        </w:rPr>
        <w:t>备注：电脑端的操作步骤与视频课程一致。</w:t>
      </w:r>
    </w:p>
    <w:p>
      <w:pPr>
        <w:rPr>
          <w:rFonts w:hint="eastAsia" w:ascii="微软雅黑" w:hAnsi="微软雅黑" w:eastAsia="微软雅黑" w:cs="微软雅黑"/>
          <w:color w:val="000000" w:themeColor="text1"/>
          <w:spacing w:val="10"/>
          <w:sz w:val="24"/>
          <w:szCs w:val="24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80660" cy="2736215"/>
            <wp:effectExtent l="0" t="0" r="7620" b="698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0" w:leftChars="0" w:firstLine="0" w:firstLineChars="0"/>
        <w:rPr>
          <w:rFonts w:hint="eastAsia" w:ascii="微软雅黑" w:hAnsi="微软雅黑" w:eastAsia="微软雅黑" w:cs="微软雅黑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我们先来海选一下，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</w:t>
      </w:r>
      <w:r>
        <w:rPr>
          <w:rFonts w:hint="eastAsia" w:ascii="微软雅黑" w:hAnsi="微软雅黑" w:eastAsia="微软雅黑" w:cs="微软雅黑"/>
          <w:sz w:val="24"/>
          <w:szCs w:val="24"/>
        </w:rPr>
        <w:t>“</w:t>
      </w:r>
      <w:r>
        <w:rPr>
          <w:rFonts w:hint="default" w:ascii="微软雅黑" w:hAnsi="微软雅黑" w:eastAsia="微软雅黑" w:cs="微软雅黑"/>
          <w:sz w:val="24"/>
          <w:szCs w:val="24"/>
        </w:rPr>
        <w:t>总市值</w:t>
      </w:r>
      <w:r>
        <w:rPr>
          <w:rFonts w:hint="eastAsia" w:ascii="微软雅黑" w:hAnsi="微软雅黑" w:eastAsia="微软雅黑" w:cs="微软雅黑"/>
          <w:sz w:val="24"/>
          <w:szCs w:val="24"/>
        </w:rPr>
        <w:t>”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排序</w:t>
      </w:r>
      <w:r>
        <w:rPr>
          <w:rFonts w:hint="eastAsia" w:ascii="微软雅黑" w:hAnsi="微软雅黑" w:eastAsia="微软雅黑" w:cs="微软雅黑"/>
          <w:sz w:val="24"/>
          <w:szCs w:val="24"/>
        </w:rPr>
        <w:t>，让当日</w:t>
      </w:r>
      <w:r>
        <w:rPr>
          <w:rFonts w:hint="default" w:ascii="微软雅黑" w:hAnsi="微软雅黑" w:eastAsia="微软雅黑" w:cs="微软雅黑"/>
          <w:sz w:val="24"/>
          <w:szCs w:val="24"/>
        </w:rPr>
        <w:t>总市值</w:t>
      </w:r>
      <w:r>
        <w:rPr>
          <w:rFonts w:hint="eastAsia" w:ascii="微软雅黑" w:hAnsi="微软雅黑" w:eastAsia="微软雅黑" w:cs="微软雅黑"/>
          <w:sz w:val="24"/>
          <w:szCs w:val="24"/>
        </w:rPr>
        <w:t>由大到小</w:t>
      </w:r>
      <w:r>
        <w:rPr>
          <w:rFonts w:hint="default" w:ascii="微软雅黑" w:hAnsi="微软雅黑" w:eastAsia="微软雅黑" w:cs="微软雅黑"/>
          <w:sz w:val="24"/>
          <w:szCs w:val="24"/>
        </w:rPr>
        <w:t>排序，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市值大于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100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亿的REITs一般物业质量都相对比较好</w:t>
      </w:r>
      <w:r>
        <w:rPr>
          <w:rFonts w:hint="eastAsia" w:ascii="微软雅黑" w:hAnsi="微软雅黑" w:eastAsia="微软雅黑" w:cs="微软雅黑"/>
          <w:sz w:val="24"/>
          <w:szCs w:val="24"/>
        </w:rPr>
        <w:t>。</w:t>
      </w:r>
    </w:p>
    <w:p>
      <w:pPr>
        <w:rPr>
          <w:rFonts w:ascii="微软雅黑" w:hAnsi="微软雅黑" w:eastAsia="微软雅黑" w:cs="微软雅黑"/>
          <w:sz w:val="24"/>
          <w:szCs w:val="24"/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184140" cy="2339975"/>
            <wp:effectExtent l="0" t="0" r="12700" b="6985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5"/>
        <w:ind w:left="0" w:leftChars="0" w:firstLine="0" w:firstLineChars="0"/>
        <w:rPr>
          <w:rFonts w:hint="eastAsia" w:ascii="微软雅黑" w:hAnsi="微软雅黑" w:eastAsia="微软雅黑" w:cs="宋体"/>
          <w:b/>
          <w:bCs/>
          <w:kern w:val="0"/>
          <w:sz w:val="36"/>
          <w:szCs w:val="36"/>
          <w:lang w:val="en-US" w:eastAsia="zh-CN"/>
        </w:rPr>
      </w:pPr>
      <w:r>
        <w:rPr>
          <w:rFonts w:hint="default" w:ascii="微软雅黑" w:hAnsi="微软雅黑" w:eastAsia="微软雅黑" w:cs="微软雅黑"/>
          <w:sz w:val="24"/>
          <w:szCs w:val="24"/>
        </w:rPr>
        <w:t>根据排序结果，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我们选出市值大于</w:t>
      </w:r>
      <w:r>
        <w:rPr>
          <w:rFonts w:hint="eastAsia" w:ascii="微软雅黑" w:hAnsi="微软雅黑" w:eastAsia="微软雅黑" w:cs="微软雅黑"/>
          <w:kern w:val="0"/>
          <w:sz w:val="24"/>
          <w:szCs w:val="24"/>
          <w:lang w:val="en-US" w:eastAsia="zh-CN"/>
        </w:rPr>
        <w:t>100</w:t>
      </w:r>
      <w:r>
        <w:rPr>
          <w:rFonts w:hint="eastAsia" w:ascii="微软雅黑" w:hAnsi="微软雅黑" w:eastAsia="微软雅黑" w:cs="微软雅黑"/>
          <w:kern w:val="0"/>
          <w:sz w:val="24"/>
          <w:szCs w:val="24"/>
        </w:rPr>
        <w:t>亿的REITs</w:t>
      </w:r>
      <w:r>
        <w:rPr>
          <w:rFonts w:hint="default" w:ascii="微软雅黑" w:hAnsi="微软雅黑" w:eastAsia="微软雅黑" w:cs="微软雅黑"/>
          <w:kern w:val="0"/>
          <w:sz w:val="24"/>
          <w:szCs w:val="24"/>
        </w:rPr>
        <w:t>，</w:t>
      </w:r>
      <w:r>
        <w:rPr>
          <w:rFonts w:hint="default" w:ascii="微软雅黑" w:hAnsi="微软雅黑" w:eastAsia="微软雅黑" w:cs="微软雅黑"/>
          <w:sz w:val="24"/>
          <w:szCs w:val="24"/>
        </w:rPr>
        <w:t>把市值</w:t>
      </w:r>
      <w:r>
        <w:rPr>
          <w:rFonts w:hint="eastAsia" w:ascii="微软雅黑" w:hAnsi="微软雅黑" w:eastAsia="微软雅黑" w:cs="微软雅黑"/>
          <w:sz w:val="24"/>
          <w:szCs w:val="24"/>
        </w:rPr>
        <w:t>小于100</w:t>
      </w:r>
      <w:r>
        <w:rPr>
          <w:rFonts w:hint="default" w:ascii="微软雅黑" w:hAnsi="微软雅黑" w:eastAsia="微软雅黑" w:cs="微软雅黑"/>
          <w:sz w:val="24"/>
          <w:szCs w:val="24"/>
        </w:rPr>
        <w:t>亿</w:t>
      </w:r>
      <w:r>
        <w:rPr>
          <w:rFonts w:hint="eastAsia" w:ascii="微软雅黑" w:hAnsi="微软雅黑" w:eastAsia="微软雅黑" w:cs="微软雅黑"/>
          <w:sz w:val="24"/>
          <w:szCs w:val="24"/>
        </w:rPr>
        <w:t>的REITs淘汰掉，这样就只剩下领展房产基金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00823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、冠君产业信托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02778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、置富产业信托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00778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、汇贤产业信托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87001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、越秀房产信托基金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00405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</w:rPr>
        <w:t>5只REITs了。</w:t>
      </w:r>
    </w:p>
    <w:p>
      <w:pPr>
        <w:pStyle w:val="15"/>
        <w:ind w:left="0" w:leftChars="0" w:firstLine="0" w:firstLineChars="0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以上就是问题一中</w:t>
      </w: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选出港股中市值大于100亿的REITS的操作，大家一定要学会后动手操作一下。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精挑细选港股REITS</w:t>
      </w:r>
    </w:p>
    <w:p>
      <w:pPr>
        <w:numPr>
          <w:ilvl w:val="0"/>
          <w:numId w:val="0"/>
        </w:numPr>
        <w:rPr>
          <w:rFonts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1、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每年分红且长期稳定增长</w:t>
      </w:r>
    </w:p>
    <w:p>
      <w:pPr>
        <w:numPr>
          <w:ilvl w:val="0"/>
          <w:numId w:val="0"/>
        </w:numPr>
        <w:rPr>
          <w:rFonts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2、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地段要好，整体出租率大于90%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/>
          <w:bCs/>
          <w:sz w:val="32"/>
          <w:szCs w:val="40"/>
          <w:lang w:val="en-US" w:eastAsia="zh-CN"/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3、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资产负债率小于40%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① 查看每年的分红情况，把不稳定增长的淘汰掉</w:t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eastAsia" w:ascii="微软雅黑" w:hAnsi="微软雅黑" w:eastAsia="微软雅黑" w:cs="微软雅黑"/>
          <w:i w:val="0"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olor w:val="auto"/>
          <w:kern w:val="0"/>
          <w:sz w:val="24"/>
          <w:szCs w:val="24"/>
          <w:u w:val="none"/>
          <w:lang w:val="en-US" w:eastAsia="zh-CN" w:bidi="ar"/>
        </w:rPr>
        <w:t>香港REITS查询网址：</w:t>
      </w:r>
    </w:p>
    <w:p>
      <w:pPr>
        <w:numPr>
          <w:ilvl w:val="0"/>
          <w:numId w:val="0"/>
        </w:numPr>
        <w:ind w:leftChars="200"/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</w:pP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begin"/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instrText xml:space="preserve"> HYPERLINK "http://app.finance.ifeng.com/data/hkstock/fundamental.php?symbol=00823&amp;type=Balance" </w:instrTex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t>http://app.finance.ifeng.com/data/hkstock/fundamental.php?symbol=00823&amp;type=Balance</w: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end"/>
      </w: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具体的操作步骤如下:</w:t>
      </w:r>
    </w:p>
    <w:p>
      <w:pPr>
        <w:rPr>
          <w:rFonts w:hint="default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  <w:t>第1步：打开网址链接；第2步：点击“派息记录”</w:t>
      </w: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554345" cy="1946275"/>
            <wp:effectExtent l="0" t="0" r="8255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1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</w:p>
    <w:p>
      <w:pPr>
        <w:rPr>
          <w:rFonts w:hint="eastAsia" w:ascii="微软雅黑" w:hAnsi="微软雅黑" w:eastAsia="微软雅黑" w:cs="微软雅黑"/>
          <w:kern w:val="2"/>
          <w:sz w:val="24"/>
          <w:szCs w:val="24"/>
          <w:lang w:val="en-US" w:eastAsia="zh-CN" w:bidi="ar-SA"/>
        </w:rPr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1、领展房地产基金（00823）--派息情况</w:t>
      </w:r>
    </w:p>
    <w:p>
      <w:r>
        <w:drawing>
          <wp:inline distT="0" distB="0" distL="114300" distR="114300">
            <wp:extent cx="5551805" cy="2663825"/>
            <wp:effectExtent l="0" t="0" r="10795" b="317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备注：香港一年分红2次，比如2019年度分红是看2019/03的中期和末期的派息之和。由于派息数据图片过长，仅截取部分相关派息内容。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过去10多年领展每年都有现金分红，而且分红金额长期稳定增长，符合标准。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default" w:ascii="微软雅黑" w:hAnsi="微软雅黑" w:eastAsia="微软雅黑" w:cs="微软雅黑"/>
          <w:b/>
          <w:sz w:val="24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2、置富产业信托（00778）--派息情况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1170" cy="2086610"/>
            <wp:effectExtent l="0" t="0" r="11430" b="127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208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备注：由于派息数据图片过长，仅截取部分相关派息内容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过去10年置富每年都有现金分红，而且分红金额长期稳定增长，符合标准。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default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</w:p>
    <w:p>
      <w:pPr>
        <w:widowControl/>
        <w:numPr>
          <w:ilvl w:val="0"/>
          <w:numId w:val="0"/>
        </w:numPr>
        <w:jc w:val="center"/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3、冠君产业信托（02778）--派息情况</w:t>
      </w:r>
    </w:p>
    <w:p>
      <w:pPr>
        <w:widowControl/>
        <w:numPr>
          <w:ilvl w:val="0"/>
          <w:numId w:val="0"/>
        </w:numPr>
        <w:jc w:val="center"/>
      </w:pPr>
      <w:r>
        <w:drawing>
          <wp:inline distT="0" distB="0" distL="114300" distR="114300">
            <wp:extent cx="5556885" cy="3231515"/>
            <wp:effectExtent l="0" t="0" r="5715" b="14605"/>
            <wp:docPr id="5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rcRect b="35850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备注：由于派息数据图片过长，仅截取部分相关派息内容。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过去10多年冠君每年都有现金分红，长期稳定，但是2007年到2015年分红持续减少，虽然2015年到2019年有所增长，但是整体来看没有显著增长，不符合标准。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4、越秀房地产投资信托基金（00405）--派息情况</w:t>
      </w:r>
    </w:p>
    <w:p>
      <w:pPr>
        <w:widowControl/>
        <w:numPr>
          <w:ilvl w:val="0"/>
          <w:numId w:val="0"/>
        </w:numPr>
        <w:ind w:leftChars="0"/>
        <w:jc w:val="left"/>
      </w:pPr>
      <w:r>
        <w:drawing>
          <wp:inline distT="0" distB="0" distL="114300" distR="114300">
            <wp:extent cx="5600700" cy="3002280"/>
            <wp:effectExtent l="0" t="0" r="7620" b="0"/>
            <wp:docPr id="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rcRect b="4106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备注：由于派息数据图片过长，仅截取部分相关派息内容。</w:t>
      </w:r>
    </w:p>
    <w:p>
      <w:pPr>
        <w:widowControl/>
        <w:numPr>
          <w:ilvl w:val="0"/>
          <w:numId w:val="0"/>
        </w:numPr>
        <w:jc w:val="both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从整体分红数据中我们可以看出，过去10多年越秀每年都有现金分红，从2007年到2017年整体缓慢增长，虽然2018年到2019年分红金额有所下滑，但是从长期来看分红金额长期缓慢增长，符合标准。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5、汇贤产业信托（87001）--派息情况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6250" cy="2985135"/>
            <wp:effectExtent l="0" t="0" r="6350" b="1905"/>
            <wp:docPr id="6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rcRect b="40979"/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298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备注：由于派息数据图片过长，仅截取部分相关派息内容。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auto"/>
          <w:kern w:val="0"/>
          <w:sz w:val="24"/>
          <w:szCs w:val="24"/>
          <w:lang w:val="en-US" w:eastAsia="zh-CN"/>
        </w:rPr>
        <w:t>从以上分红数据中我们可以看出，过去多年汇贤每年都有现金分红，长期稳定，但是长期没有明显增长，仅仅2011年至2016年增长，随后2017年到2019年分红逐年减少。整体增长的年份太短，趋势不明显，不符合标准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综上整理得出</w:t>
      </w:r>
    </w:p>
    <w:p>
      <w:pPr>
        <w:widowControl/>
        <w:numPr>
          <w:ilvl w:val="0"/>
          <w:numId w:val="0"/>
        </w:numPr>
        <w:ind w:leftChars="0"/>
        <w:jc w:val="left"/>
        <w:rPr>
          <w:rFonts w:ascii="sans-serif" w:hAnsi="sans-serif" w:eastAsia="sans-serif" w:cs="sans-serif"/>
          <w:i w:val="0"/>
          <w:caps w:val="0"/>
          <w:color w:val="000000"/>
          <w:spacing w:val="0"/>
          <w:sz w:val="19"/>
          <w:szCs w:val="19"/>
        </w:rPr>
      </w:pPr>
      <w:r>
        <w:rPr>
          <w:rFonts w:ascii="sans-serif" w:hAnsi="sans-serif" w:eastAsia="sans-serif" w:cs="sans-serif"/>
          <w:i w:val="0"/>
          <w:caps w:val="0"/>
          <w:color w:val="000000"/>
          <w:spacing w:val="0"/>
          <w:sz w:val="19"/>
          <w:szCs w:val="19"/>
        </w:rPr>
        <w:drawing>
          <wp:inline distT="0" distB="0" distL="114300" distR="114300">
            <wp:extent cx="5574665" cy="2588260"/>
            <wp:effectExtent l="0" t="0" r="3175" b="2540"/>
            <wp:docPr id="36" name="图片 4" descr="15975692644032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 descr="1597569264403296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② 查看地段要好，整体出租率大于90%</w:t>
      </w: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点击“公司概括”，查看公司物业出租率。</w:t>
      </w:r>
    </w:p>
    <w:p>
      <w:pP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凤凰网的这部分资料是从对应REITS的财报中摘录得来。未来等学习到财报，可以认真的通过财报来判断出租率情况。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1、领展房地产基金（00823）-- 物业出租率情况</w:t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drawing>
          <wp:inline distT="0" distB="0" distL="114300" distR="114300">
            <wp:extent cx="5554345" cy="2275205"/>
            <wp:effectExtent l="0" t="0" r="8255" b="10795"/>
            <wp:docPr id="6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rcRect b="49011"/>
                    <a:stretch>
                      <a:fillRect/>
                    </a:stretch>
                  </pic:blipFill>
                  <pic:spPr>
                    <a:xfrm>
                      <a:off x="0" y="0"/>
                      <a:ext cx="555434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</w:pPr>
      <w:bookmarkStart w:id="0" w:name="_GoBack"/>
      <w:r>
        <w:drawing>
          <wp:inline distT="0" distB="0" distL="114300" distR="114300">
            <wp:extent cx="5555615" cy="2863850"/>
            <wp:effectExtent l="0" t="0" r="6985" b="1270"/>
            <wp:docPr id="6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widowControl/>
        <w:numPr>
          <w:ilvl w:val="0"/>
          <w:numId w:val="0"/>
        </w:numPr>
        <w:ind w:leftChars="0"/>
        <w:jc w:val="left"/>
        <w:rPr>
          <w:rFonts w:hint="default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备注：查找物业组合的出租率</w:t>
      </w:r>
    </w:p>
    <w:p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领展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的年报显示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旗下物业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组合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出租率很高，整体出租率大于95%，地段很好。符合标准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2、置富产业信托（00778）</w:t>
      </w: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-- 物业出租率情况</w:t>
      </w:r>
    </w:p>
    <w:p>
      <w:r>
        <w:drawing>
          <wp:inline distT="0" distB="0" distL="114300" distR="114300">
            <wp:extent cx="5556885" cy="3104515"/>
            <wp:effectExtent l="0" t="0" r="5715" b="4445"/>
            <wp:docPr id="6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6885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/>
          <w:lang w:eastAsia="zh-CN"/>
        </w:rPr>
      </w:pPr>
      <w:r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1"/>
          <w:szCs w:val="21"/>
          <w:lang w:val="en-US" w:eastAsia="zh-CN"/>
        </w:rPr>
        <w:t>备注：查找物业组合的出租率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置富的年报显示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旗下物业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组合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出租率很高，整体出租率大于9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5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%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，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符合标准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微软雅黑"/>
          <w:color w:val="0000FF"/>
          <w:sz w:val="24"/>
          <w:szCs w:val="32"/>
          <w:lang w:eastAsia="zh-CN"/>
        </w:rPr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3、越秀房地产投资信托基金（00405）</w:t>
      </w: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-- 物业出租率情况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4980" cy="1699260"/>
            <wp:effectExtent l="0" t="0" r="7620" b="7620"/>
            <wp:docPr id="7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rcRect b="64205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54980" cy="1205230"/>
            <wp:effectExtent l="0" t="0" r="7620" b="13970"/>
            <wp:docPr id="7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6"/>
                    <pic:cNvPicPr>
                      <a:picLocks noChangeAspect="1"/>
                    </pic:cNvPicPr>
                  </pic:nvPicPr>
                  <pic:blipFill>
                    <a:blip r:embed="rId18"/>
                    <a:srcRect t="7461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right="-65" w:rightChars="-31"/>
        <w:rPr>
          <w:rFonts w:hint="default" w:ascii="微软雅黑" w:hAnsi="微软雅黑" w:eastAsia="微软雅黑" w:cs="微软雅黑"/>
          <w:color w:val="auto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  <w:t>越秀通过凤凰网查询，披露的物业情况过少，仅仅披露了酒店和公寓的入住率情况，没有披露整体物业组合的出租率。这时我们只能通过财报查询，经过查询，越秀的物业组合出租率合计92.6%。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</w:rPr>
        <w:t>大于9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  <w:t>0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</w:rPr>
        <w:t>%，地段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  <w:t>非常优秀，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</w:rPr>
        <w:t>符合标准</w:t>
      </w:r>
      <w:r>
        <w:rPr>
          <w:rFonts w:hint="eastAsia" w:ascii="微软雅黑" w:hAnsi="微软雅黑" w:eastAsia="微软雅黑" w:cs="微软雅黑"/>
          <w:color w:val="auto"/>
          <w:sz w:val="24"/>
          <w:szCs w:val="32"/>
          <w:lang w:eastAsia="zh-CN"/>
        </w:rPr>
        <w:t>。</w:t>
      </w:r>
    </w:p>
    <w:p>
      <w:pPr>
        <w:ind w:right="863" w:rightChars="411"/>
        <w:rPr>
          <w:rFonts w:hint="default" w:ascii="微软雅黑" w:hAnsi="微软雅黑" w:eastAsia="微软雅黑" w:cs="微软雅黑"/>
          <w:color w:val="0000FF"/>
          <w:sz w:val="22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2"/>
          <w:szCs w:val="28"/>
          <w:lang w:val="en-US" w:eastAsia="zh-CN"/>
        </w:rPr>
        <w:t>备注：仅仅通过查看网址数据很容易遗漏和错杀一些有投资价值的REITS，市场上很多人是由于不会看财报，错过了很多投资机会。同学们学完财报自然就会查询，暂时大家不需要过多的关注。</w:t>
      </w:r>
    </w:p>
    <w:p>
      <w:pP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color w:val="auto"/>
          <w:sz w:val="24"/>
          <w:szCs w:val="32"/>
          <w:lang w:val="en-US" w:eastAsia="zh-CN"/>
        </w:rPr>
        <w:t>那么综上整理得出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545455" cy="1727835"/>
            <wp:effectExtent l="0" t="0" r="1905" b="952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rcRect b="37595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③ 资产负债率小于40%</w:t>
      </w: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视频笔记中：资产负债率=总债项÷总资产</w:t>
      </w:r>
    </w:p>
    <w:p>
      <w:pPr>
        <w:rPr>
          <w:rFonts w:hint="default" w:ascii="微软雅黑" w:hAnsi="微软雅黑" w:eastAsia="微软雅黑" w:cs="微软雅黑"/>
          <w:color w:val="0000FF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对于REITS来说，这里的总债项就相当于总负债的意思。</w:t>
      </w: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点击“资产负债率”，查看公司负债情况。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1、领展房地产基金（00823）-- 资产负债率情况</w:t>
      </w:r>
    </w:p>
    <w:p>
      <w:pPr>
        <w:widowControl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457190" cy="4526280"/>
            <wp:effectExtent l="0" t="0" r="13970" b="0"/>
            <wp:docPr id="8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领展资产负债率=总债项÷总资产×100%=34598÷207619×100%=16.7%，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大幅小于40%，符合标准。</w:t>
      </w:r>
    </w:p>
    <w:p>
      <w:pPr>
        <w:widowControl/>
        <w:numPr>
          <w:ilvl w:val="0"/>
          <w:numId w:val="0"/>
        </w:numPr>
        <w:ind w:right="420" w:rightChars="200"/>
        <w:jc w:val="left"/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2、越秀房地产投资信托基金（00405）</w:t>
      </w: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-- 资产负债率情况</w:t>
      </w:r>
    </w:p>
    <w:p>
      <w:pPr>
        <w:widowControl/>
        <w:numPr>
          <w:ilvl w:val="0"/>
          <w:numId w:val="0"/>
        </w:numPr>
        <w:ind w:right="420" w:rightChars="200"/>
        <w:jc w:val="left"/>
      </w:pPr>
      <w:r>
        <w:drawing>
          <wp:inline distT="0" distB="0" distL="114300" distR="114300">
            <wp:extent cx="5551170" cy="4610735"/>
            <wp:effectExtent l="0" t="0" r="11430" b="6985"/>
            <wp:docPr id="8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46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越秀的资产负债率=总债项÷总资产×100%=14281589÷36425456×100%=39.2%，小于40%，没有发生债务危机的可能，符合标准。</w:t>
      </w:r>
    </w:p>
    <w:p>
      <w:pPr>
        <w:widowControl/>
        <w:numPr>
          <w:ilvl w:val="0"/>
          <w:numId w:val="0"/>
        </w:numPr>
        <w:ind w:leftChars="0"/>
        <w:jc w:val="left"/>
      </w:pPr>
    </w:p>
    <w:p>
      <w:pPr>
        <w:widowControl/>
        <w:numPr>
          <w:ilvl w:val="0"/>
          <w:numId w:val="0"/>
        </w:numPr>
        <w:ind w:leftChars="0"/>
        <w:jc w:val="left"/>
      </w:pPr>
    </w:p>
    <w:p>
      <w:pPr>
        <w:widowControl/>
        <w:numPr>
          <w:ilvl w:val="0"/>
          <w:numId w:val="0"/>
        </w:numPr>
        <w:ind w:leftChars="0"/>
        <w:jc w:val="left"/>
      </w:pPr>
    </w:p>
    <w:p>
      <w:pP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40" w:lineRule="auto"/>
        <w:textAlignment w:val="auto"/>
      </w:pPr>
      <w:r>
        <w:rPr>
          <w:rFonts w:hint="eastAsia" w:ascii="微软雅黑" w:hAnsi="微软雅黑" w:eastAsia="微软雅黑" w:cs="微软雅黑"/>
          <w:b/>
          <w:sz w:val="24"/>
          <w:szCs w:val="21"/>
          <w:lang w:val="en-US" w:eastAsia="zh-CN"/>
        </w:rPr>
        <w:t>3、置富产业信托（00778）</w:t>
      </w:r>
      <w:r>
        <w:rPr>
          <w:rFonts w:hint="eastAsia" w:ascii="微软雅黑" w:hAnsi="微软雅黑" w:eastAsia="微软雅黑" w:cs="微软雅黑"/>
          <w:sz w:val="24"/>
          <w:szCs w:val="21"/>
          <w:lang w:val="en-US" w:eastAsia="zh-CN"/>
        </w:rPr>
        <w:t>-- 资产负债率情况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宋体"/>
          <w:b w:val="0"/>
          <w:bCs w:val="0"/>
          <w:color w:val="0F3BF9"/>
          <w:kern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554980" cy="4653915"/>
            <wp:effectExtent l="0" t="0" r="7620" b="952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color w:val="000000" w:themeColor="text1"/>
          <w:kern w:val="0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置富的资产负债率=总债项÷总资产×100%=8479179÷43049489×100%=19.7%，小于40%，没有发生债务危机的可能，符合标准。</w:t>
      </w: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综上整理得出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049520" cy="1588770"/>
            <wp:effectExtent l="0" t="0" r="10160" b="1143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952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0"/>
        </w:numPr>
        <w:jc w:val="left"/>
        <w:rPr>
          <w:rFonts w:hint="default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我们经过精挑细选出来这3家REITS，接下来就需要计算好价格啦</w:t>
      </w:r>
    </w:p>
    <w:p>
      <w:pPr>
        <w:rPr>
          <w:rFonts w:hint="eastAsia"/>
        </w:r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360"/>
        <w:jc w:val="left"/>
        <w:textAlignment w:val="auto"/>
        <w:rPr>
          <w:rFonts w:hint="eastAsia" w:ascii="微软雅黑" w:hAnsi="微软雅黑" w:eastAsia="微软雅黑" w:cs="微软雅黑"/>
          <w:sz w:val="32"/>
          <w:szCs w:val="22"/>
          <w:lang w:val="en-US" w:eastAsia="zh-CN"/>
        </w:rPr>
      </w:pPr>
      <w:r>
        <w:rPr>
          <w:rFonts w:hint="eastAsia" w:ascii="微软雅黑" w:hAnsi="微软雅黑" w:eastAsia="微软雅黑" w:cs="微软雅黑"/>
          <w:sz w:val="32"/>
          <w:szCs w:val="22"/>
          <w:lang w:val="en-US" w:eastAsia="zh-CN"/>
        </w:rPr>
        <w:t>计算出以下港股REITS的好价格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当香港REITs的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股息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率大于10%的时候，是很好的买进时机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，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当香港REITs的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val="en-US" w:eastAsia="zh-CN"/>
          <w14:textFill>
            <w14:solidFill>
              <w14:schemeClr w14:val="tx1"/>
            </w14:solidFill>
          </w14:textFill>
        </w:rPr>
        <w:t>股息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14:textFill>
            <w14:solidFill>
              <w14:schemeClr w14:val="tx1"/>
            </w14:solidFill>
          </w14:textFill>
        </w:rPr>
        <w:t>率小于5%的时候，是很好的卖出时机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32"/>
          <w:lang w:eastAsia="zh-CN"/>
          <w14:textFill>
            <w14:solidFill>
              <w14:schemeClr w14:val="tx1"/>
            </w14:solidFill>
          </w14:textFill>
        </w:rPr>
        <w:t>。</w:t>
      </w:r>
    </w:p>
    <w:p>
      <w:pPr>
        <w:widowControl/>
        <w:numPr>
          <w:ilvl w:val="0"/>
          <w:numId w:val="0"/>
        </w:numPr>
        <w:ind w:leftChars="0"/>
        <w:jc w:val="left"/>
        <w:rPr>
          <w:rFonts w:hint="default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auto"/>
          <w:sz w:val="24"/>
          <w:szCs w:val="24"/>
          <w:highlight w:val="none"/>
          <w:lang w:val="en-US" w:eastAsia="zh-CN"/>
        </w:rPr>
        <w:t>因此，当目标REITS的股息率＝10%时，目标REITS的价格达到好价格的临界值。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股息率法好价格=TTM股息÷10%</w:t>
      </w:r>
    </w:p>
    <w:p>
      <w:pPr>
        <w:numPr>
          <w:ilvl w:val="0"/>
          <w:numId w:val="5"/>
        </w:numPr>
        <w:ind w:left="420" w:leftChars="0" w:hanging="420" w:firstLineChars="0"/>
        <w:rPr>
          <w:rFonts w:hint="eastAsia" w:ascii="微软雅黑" w:hAnsi="微软雅黑" w:eastAsia="微软雅黑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股息率=TTM股息÷当前股价×100%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157" w:beforeLines="50"/>
        <w:jc w:val="left"/>
        <w:textAlignment w:val="auto"/>
        <w:rPr>
          <w:rFonts w:hint="eastAsia" w:ascii="微软雅黑" w:hAnsi="微软雅黑" w:eastAsia="微软雅黑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我们以越秀房产信托为例，计算它的好价格。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第一步：查询越秀房产信托的TTM股息并计算好价格</w:t>
      </w:r>
    </w:p>
    <w:p>
      <w:pPr>
        <w:numPr>
          <w:ilvl w:val="0"/>
          <w:numId w:val="1"/>
        </w:numPr>
        <w:ind w:left="420" w:leftChars="0" w:hanging="420" w:firstLineChars="0"/>
        <w:rPr>
          <w:rStyle w:val="12"/>
          <w:rFonts w:hint="eastAsia" w:ascii="微软雅黑" w:hAnsi="微软雅黑" w:eastAsia="微软雅黑" w:cs="微软雅黑"/>
          <w:i w:val="0"/>
          <w:color w:val="auto"/>
          <w:kern w:val="0"/>
          <w:sz w:val="22"/>
          <w:szCs w:val="22"/>
          <w:lang w:val="en-US" w:eastAsia="zh-CN" w:bidi="ar"/>
        </w:rPr>
      </w:pPr>
      <w:r>
        <w:rPr>
          <w:rFonts w:hint="eastAsia" w:ascii="微软雅黑" w:hAnsi="微软雅黑" w:eastAsia="微软雅黑" w:cs="微软雅黑"/>
          <w:i w:val="0"/>
          <w:color w:val="auto"/>
          <w:kern w:val="0"/>
          <w:sz w:val="24"/>
          <w:szCs w:val="24"/>
          <w:u w:val="none"/>
          <w:lang w:val="en-US" w:eastAsia="zh-CN" w:bidi="ar"/>
        </w:rPr>
        <w:t>香港REITS查询网址：</w:t>
      </w:r>
    </w:p>
    <w:p>
      <w:pPr>
        <w:numPr>
          <w:ilvl w:val="0"/>
          <w:numId w:val="0"/>
        </w:numPr>
        <w:ind w:leftChars="200"/>
      </w:pP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begin"/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instrText xml:space="preserve"> HYPERLINK "http://app.finance.ifeng.com/data/hkstock/fundamental.php?symbol=00823&amp;type=Balance" </w:instrTex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t>http://app.finance.ifeng.com/data/hkstock/fundamental.php?symbol=00823&amp;type=Balance</w:t>
      </w:r>
      <w:r>
        <w:rPr>
          <w:rStyle w:val="12"/>
          <w:rFonts w:hint="eastAsia" w:ascii="微软雅黑" w:hAnsi="微软雅黑" w:eastAsia="微软雅黑" w:cs="微软雅黑"/>
          <w:i w:val="0"/>
          <w:color w:val="0000FF"/>
          <w:kern w:val="0"/>
          <w:sz w:val="18"/>
          <w:szCs w:val="18"/>
          <w:lang w:val="en-US" w:eastAsia="zh-CN" w:bidi="ar"/>
        </w:rPr>
        <w:fldChar w:fldCharType="end"/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5620385" cy="2574290"/>
            <wp:effectExtent l="0" t="0" r="3175" b="1270"/>
            <wp:docPr id="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香港的REITS一般是一年分红2次，那么查询起来，把最近的两次分红（中期业绩＋末期业绩）相加，就是越秀的股息。</w:t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越秀TTM股息=0.1098＋0.1167=0.2265港元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越秀股息率法好价格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=TTM股息÷10%=0.2265÷10%=2.265港元</w:t>
      </w:r>
    </w:p>
    <w:p>
      <w:pPr>
        <w:rPr>
          <w:rFonts w:hint="default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第二步：查询越秀房产信托的股价并计算股息率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/>
          <w:sz w:val="24"/>
          <w:szCs w:val="32"/>
          <w:lang w:val="en-US" w:eastAsia="zh-CN"/>
        </w:rPr>
        <w:t>直接富途牛牛中按照市值排序后的结果</w:t>
      </w:r>
    </w:p>
    <w:p>
      <w:pPr>
        <w:widowControl/>
        <w:numPr>
          <w:ilvl w:val="0"/>
          <w:numId w:val="0"/>
        </w:numPr>
        <w:jc w:val="left"/>
      </w:pPr>
      <w:r>
        <w:drawing>
          <wp:inline distT="0" distB="0" distL="114300" distR="114300">
            <wp:extent cx="4704080" cy="3599815"/>
            <wp:effectExtent l="0" t="0" r="5080" b="1206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越秀当前股价=3.690港元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FF"/>
          <w:sz w:val="24"/>
          <w:szCs w:val="24"/>
          <w:lang w:val="en-US" w:eastAsia="zh-CN"/>
        </w:rPr>
        <w:t>越秀股息率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=TTM股息÷当前股价×100%=0.2265÷3.690×100%=6.14%</w:t>
      </w:r>
    </w:p>
    <w:p>
      <w:pPr>
        <w:widowControl/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其他的REITS，需要同学们自己进行好价格的计算啦。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  <w:rPr>
          <w:rFonts w:hint="eastAsia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</w:pPr>
      <w:r>
        <w:rPr>
          <w:rFonts w:hint="eastAsia"/>
          <w:lang w:val="en-US" w:eastAsia="zh-CN"/>
        </w:rPr>
        <w:t>第三步：记录数据</w:t>
      </w:r>
    </w:p>
    <w:tbl>
      <w:tblPr>
        <w:tblStyle w:val="8"/>
        <w:tblW w:w="8778" w:type="dxa"/>
        <w:tblInd w:w="0" w:type="dxa"/>
        <w:shd w:val="clear" w:color="auto" w:fill="auto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2"/>
        <w:gridCol w:w="862"/>
        <w:gridCol w:w="1375"/>
        <w:gridCol w:w="980"/>
        <w:gridCol w:w="899"/>
        <w:gridCol w:w="2060"/>
        <w:gridCol w:w="2070"/>
      </w:tblGrid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40" w:hRule="atLeast"/>
        </w:trPr>
        <w:tc>
          <w:tcPr>
            <w:tcW w:w="5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序号</w:t>
            </w:r>
          </w:p>
        </w:tc>
        <w:tc>
          <w:tcPr>
            <w:tcW w:w="86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代码</w:t>
            </w:r>
          </w:p>
        </w:tc>
        <w:tc>
          <w:tcPr>
            <w:tcW w:w="13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名称</w:t>
            </w:r>
          </w:p>
        </w:tc>
        <w:tc>
          <w:tcPr>
            <w:tcW w:w="98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当前股价</w:t>
            </w:r>
          </w:p>
        </w:tc>
        <w:tc>
          <w:tcPr>
            <w:tcW w:w="899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TTM股息</w:t>
            </w:r>
          </w:p>
        </w:tc>
        <w:tc>
          <w:tcPr>
            <w:tcW w:w="206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TTM股息率=TTM股息÷当前股价×100%</w:t>
            </w:r>
          </w:p>
        </w:tc>
        <w:tc>
          <w:tcPr>
            <w:tcW w:w="2070" w:type="dxa"/>
            <w:tcBorders>
              <w:top w:val="nil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4472C4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i w:val="0"/>
                <w:color w:val="FFFFFF"/>
                <w:sz w:val="18"/>
                <w:szCs w:val="18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i w:val="0"/>
                <w:color w:val="FFFFFF"/>
                <w:kern w:val="0"/>
                <w:sz w:val="18"/>
                <w:szCs w:val="18"/>
                <w:u w:val="none"/>
                <w:lang w:val="en-US" w:eastAsia="zh-CN" w:bidi="ar"/>
              </w:rPr>
              <w:t>好价格=TTM股息÷10%</w:t>
            </w: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5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1</w:t>
            </w:r>
          </w:p>
        </w:tc>
        <w:tc>
          <w:tcPr>
            <w:tcW w:w="86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00823</w:t>
            </w:r>
          </w:p>
        </w:tc>
        <w:tc>
          <w:tcPr>
            <w:tcW w:w="13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领展房产基金</w:t>
            </w:r>
          </w:p>
        </w:tc>
        <w:tc>
          <w:tcPr>
            <w:tcW w:w="9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89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06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0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5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2</w:t>
            </w:r>
          </w:p>
        </w:tc>
        <w:tc>
          <w:tcPr>
            <w:tcW w:w="86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00778</w:t>
            </w:r>
          </w:p>
        </w:tc>
        <w:tc>
          <w:tcPr>
            <w:tcW w:w="13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置富产业信托</w:t>
            </w:r>
          </w:p>
        </w:tc>
        <w:tc>
          <w:tcPr>
            <w:tcW w:w="9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89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06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  <w:tc>
          <w:tcPr>
            <w:tcW w:w="20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E9EBF5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</w:p>
        </w:tc>
      </w:tr>
      <w:tr>
        <w:tblPrEx>
          <w:shd w:val="clear" w:color="auto" w:fill="auto"/>
          <w:tblLayout w:type="fixed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80" w:hRule="atLeast"/>
        </w:trPr>
        <w:tc>
          <w:tcPr>
            <w:tcW w:w="53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3</w:t>
            </w:r>
          </w:p>
        </w:tc>
        <w:tc>
          <w:tcPr>
            <w:tcW w:w="862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00405</w:t>
            </w:r>
          </w:p>
        </w:tc>
        <w:tc>
          <w:tcPr>
            <w:tcW w:w="1375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1"/>
                <w:szCs w:val="21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kern w:val="0"/>
                <w:sz w:val="21"/>
                <w:szCs w:val="21"/>
                <w:u w:val="none"/>
                <w:lang w:val="en-US" w:eastAsia="zh-CN" w:bidi="ar"/>
              </w:rPr>
              <w:t>越秀产业信托</w:t>
            </w:r>
          </w:p>
        </w:tc>
        <w:tc>
          <w:tcPr>
            <w:tcW w:w="98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  <w:lang w:val="en-US" w:eastAsia="zh-CN"/>
              </w:rPr>
              <w:t>3.690</w:t>
            </w:r>
          </w:p>
        </w:tc>
        <w:tc>
          <w:tcPr>
            <w:tcW w:w="899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0.2265</w:t>
            </w:r>
          </w:p>
        </w:tc>
        <w:tc>
          <w:tcPr>
            <w:tcW w:w="206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6.14%</w:t>
            </w:r>
          </w:p>
        </w:tc>
        <w:tc>
          <w:tcPr>
            <w:tcW w:w="2070" w:type="dxa"/>
            <w:tcBorders>
              <w:top w:val="single" w:color="FFFFFF" w:sz="8" w:space="0"/>
              <w:left w:val="single" w:color="FFFFFF" w:sz="8" w:space="0"/>
              <w:bottom w:val="single" w:color="FFFFFF" w:sz="8" w:space="0"/>
              <w:right w:val="single" w:color="FFFFFF" w:sz="8" w:space="0"/>
            </w:tcBorders>
            <w:shd w:val="clear" w:color="auto" w:fill="CFD5EA"/>
            <w:tcMar>
              <w:top w:w="12" w:type="dxa"/>
              <w:left w:w="12" w:type="dxa"/>
              <w:right w:w="12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color w:val="000000" w:themeColor="text1"/>
                <w:sz w:val="24"/>
                <w:szCs w:val="24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2.265</w:t>
            </w:r>
          </w:p>
        </w:tc>
      </w:tr>
    </w:tbl>
    <w:p>
      <w:pPr>
        <w:rPr>
          <w:rFonts w:hint="default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4"/>
          <w:lang w:val="en-US" w:eastAsia="zh-CN"/>
        </w:rPr>
        <w:t>说明：</w:t>
      </w:r>
      <w:r>
        <w:rPr>
          <w:rFonts w:hint="eastAsia" w:ascii="微软雅黑" w:hAnsi="微软雅黑" w:eastAsia="微软雅黑" w:cs="微软雅黑"/>
          <w:b w:val="0"/>
          <w:bCs w:val="0"/>
          <w:kern w:val="0"/>
          <w:sz w:val="24"/>
          <w:szCs w:val="24"/>
          <w:lang w:val="en-US" w:eastAsia="zh-CN"/>
        </w:rPr>
        <w:t>上图中越秀价格为3.690港元，远高于计算出来的好价格，股息率为6.14%比银行存款还是高很多的。所以我们要做的是继续学习技能耐心等待，等待也是一种实操，甚至是一种更高级的实操。</w:t>
      </w:r>
      <w:r>
        <w:rPr>
          <w:rFonts w:hint="eastAsia" w:ascii="微软雅黑" w:hAnsi="微软雅黑" w:eastAsia="微软雅黑" w:cs="微软雅黑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多掌握一个核心工具的投资方法，我们赚钱的机会就会大幅增加，我们实现财务自由的时间就可能大幅缩短。</w:t>
      </w:r>
    </w:p>
    <w:p>
      <w:pPr>
        <w:pStyle w:val="7"/>
        <w:keepNext w:val="0"/>
        <w:keepLines w:val="0"/>
        <w:widowControl/>
        <w:suppressLineNumbers w:val="0"/>
        <w:spacing w:before="144" w:beforeAutospacing="0" w:after="144" w:afterAutospacing="0" w:line="240" w:lineRule="auto"/>
        <w:ind w:left="0" w:right="0" w:firstLine="0"/>
        <w:rPr>
          <w:rFonts w:hint="eastAsia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spacing w:before="144" w:beforeAutospacing="0" w:after="144" w:afterAutospacing="0" w:line="240" w:lineRule="auto"/>
        <w:ind w:left="0" w:right="0" w:firstLine="0"/>
        <w:rPr>
          <w:rFonts w:hint="default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 w:val="28"/>
          <w:szCs w:val="22"/>
          <w:lang w:val="en-US" w:eastAsia="zh-CN"/>
        </w:rPr>
        <w:t>第六周作业你学到的重点知识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144" w:beforeAutospacing="0" w:after="144" w:afterAutospacing="0" w:line="240" w:lineRule="auto"/>
        <w:ind w:left="0" w:right="0" w:firstLine="0"/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海选和精挑细选港股、美股REITS好公司</w:t>
      </w:r>
    </w:p>
    <w:p>
      <w:pPr>
        <w:pStyle w:val="7"/>
        <w:keepNext w:val="0"/>
        <w:keepLines w:val="0"/>
        <w:widowControl/>
        <w:numPr>
          <w:ilvl w:val="0"/>
          <w:numId w:val="6"/>
        </w:numPr>
        <w:suppressLineNumbers w:val="0"/>
        <w:spacing w:before="144" w:beforeAutospacing="0" w:after="144" w:afterAutospacing="0" w:line="240" w:lineRule="auto"/>
        <w:ind w:left="0" w:right="0" w:firstLine="0"/>
        <w:rPr>
          <w:rFonts w:hint="default" w:ascii="微软雅黑" w:hAnsi="微软雅黑" w:eastAsia="微软雅黑" w:cs="微软雅黑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宋体"/>
          <w:b w:val="0"/>
          <w:bCs w:val="0"/>
          <w:kern w:val="0"/>
          <w:sz w:val="24"/>
          <w:lang w:val="en-US" w:eastAsia="zh-CN"/>
        </w:rPr>
        <w:t>计算港股、美股REITS的好价格</w:t>
      </w:r>
    </w:p>
    <w:sectPr>
      <w:headerReference r:id="rId3" w:type="default"/>
      <w:footerReference r:id="rId4" w:type="default"/>
      <w:pgSz w:w="11906" w:h="16838"/>
      <w:pgMar w:top="1440" w:right="1576" w:bottom="1440" w:left="1576" w:header="907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Kingsoft Confetti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Arial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Confetti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微软雅黑">
    <w:altName w:val="汉仪旗黑KW 55S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DejaVu Sans">
    <w:panose1 w:val="020B0603030804020204"/>
    <w:charset w:val="00"/>
    <w:family w:val="roman"/>
    <w:pitch w:val="default"/>
    <w:sig w:usb0="E7006EFF" w:usb1="D200FDFF" w:usb2="0A246029" w:usb3="0400200C" w:csb0="600001FF" w:csb1="DFFF0000"/>
  </w:font>
  <w:font w:name="MicrosoftYaHei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苹方-港">
    <w:altName w:val="汉仪书宋二KW"/>
    <w:panose1 w:val="020B0400000000000000"/>
    <w:charset w:val="88"/>
    <w:family w:val="auto"/>
    <w:pitch w:val="default"/>
    <w:sig w:usb0="00000000" w:usb1="00000000" w:usb2="00000017" w:usb3="00000000" w:csb0="00100001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DejaVa San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第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1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页 共 </w:t>
                          </w:r>
                          <w:r>
                            <w:rPr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</w:rPr>
                            <w:instrText xml:space="preserve"> NUMPAGES  \* MERGEFORMAT </w:instrText>
                          </w:r>
                          <w:r>
                            <w:rPr>
                              <w:sz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</w:rPr>
                            <w:t>2</w:t>
                          </w:r>
                          <w:r>
                            <w:rPr>
                              <w:sz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BYAAABkcnMvUEsBAhQAFAAAAAgAh07iQLNJWO7Q&#10;AAAABQEAAA8AAAAAAAAAAQAgAAAAOAAAAGRycy9kb3ducmV2LnhtbFBLAQIUABQAAAAIAIdO4kBK&#10;283/EgIAABMEAAAOAAAAAAAAAAEAIAAAADUBAABkcnMvZTJvRG9jLnhtbFBLBQYAAAAABgAGAFkB&#10;AAC5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第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PAGE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1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z w:val="18"/>
                      </w:rPr>
                      <w:t xml:space="preserve"> 页 共 </w:t>
                    </w:r>
                    <w:r>
                      <w:rPr>
                        <w:sz w:val="18"/>
                      </w:rPr>
                      <w:fldChar w:fldCharType="begin"/>
                    </w:r>
                    <w:r>
                      <w:rPr>
                        <w:sz w:val="18"/>
                      </w:rPr>
                      <w:instrText xml:space="preserve"> NUMPAGES  \* MERGEFORMAT </w:instrText>
                    </w:r>
                    <w:r>
                      <w:rPr>
                        <w:sz w:val="18"/>
                      </w:rPr>
                      <w:fldChar w:fldCharType="separate"/>
                    </w:r>
                    <w:r>
                      <w:rPr>
                        <w:sz w:val="18"/>
                      </w:rPr>
                      <w:t>2</w:t>
                    </w:r>
                    <w:r>
                      <w:rPr>
                        <w:sz w:val="18"/>
                      </w:rPr>
                      <w:fldChar w:fldCharType="end"/>
                    </w:r>
                    <w:r>
                      <w:rPr>
                        <w:sz w:val="18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single" w:color="597BB0" w:sz="4" w:space="1"/>
      </w:pBdr>
      <w:rPr>
        <w:rFonts w:hint="eastAsia" w:ascii="苹方-港" w:hAnsi="苹方-港" w:eastAsia="苹方-港" w:cs="苹方-港"/>
        <w:color w:val="0051E8"/>
      </w:rPr>
    </w:pPr>
    <w:r>
      <w:rPr>
        <w:rFonts w:hint="eastAsia" w:ascii="苹方-港" w:hAnsi="苹方-港" w:eastAsia="苹方-港" w:cs="苹方-港"/>
        <w:color w:val="0051E8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-8255</wp:posOffset>
          </wp:positionH>
          <wp:positionV relativeFrom="paragraph">
            <wp:posOffset>-217170</wp:posOffset>
          </wp:positionV>
          <wp:extent cx="5285105" cy="568960"/>
          <wp:effectExtent l="0" t="0" r="0" b="0"/>
          <wp:wrapTopAndBottom/>
          <wp:docPr id="2" name="图片 2" descr="画板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画板1"/>
                  <pic:cNvPicPr>
                    <a:picLocks noChangeAspect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285105" cy="56896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6"/>
      <w:pBdr>
        <w:bottom w:val="single" w:color="597BB0" w:sz="4" w:space="1"/>
      </w:pBdr>
      <w:rPr>
        <w:rFonts w:hint="eastAsia" w:ascii="苹方-港" w:hAnsi="苹方-港" w:eastAsia="苹方-港" w:cs="苹方-港"/>
        <w:color w:val="0051E8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288ECDF"/>
    <w:multiLevelType w:val="singleLevel"/>
    <w:tmpl w:val="9288ECDF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CBE2E6D5"/>
    <w:multiLevelType w:val="singleLevel"/>
    <w:tmpl w:val="CBE2E6D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E2ECDA5B"/>
    <w:multiLevelType w:val="singleLevel"/>
    <w:tmpl w:val="E2ECDA5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EA65AA2A"/>
    <w:multiLevelType w:val="singleLevel"/>
    <w:tmpl w:val="EA65AA2A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5AFC364B"/>
    <w:multiLevelType w:val="singleLevel"/>
    <w:tmpl w:val="5AFC364B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5CF9845D"/>
    <w:multiLevelType w:val="singleLevel"/>
    <w:tmpl w:val="5CF9845D"/>
    <w:lvl w:ilvl="0" w:tentative="0">
      <w:start w:val="1"/>
      <w:numFmt w:val="bullet"/>
      <w:lvlText w:val="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5DED8A"/>
    <w:rsid w:val="005F5FB1"/>
    <w:rsid w:val="00C16749"/>
    <w:rsid w:val="0176498D"/>
    <w:rsid w:val="01B35E8B"/>
    <w:rsid w:val="01F72EA7"/>
    <w:rsid w:val="02335BFF"/>
    <w:rsid w:val="03E56416"/>
    <w:rsid w:val="040E792F"/>
    <w:rsid w:val="050945E6"/>
    <w:rsid w:val="056C573A"/>
    <w:rsid w:val="05CB3F93"/>
    <w:rsid w:val="05F16341"/>
    <w:rsid w:val="06672D10"/>
    <w:rsid w:val="06BB7865"/>
    <w:rsid w:val="06DC7701"/>
    <w:rsid w:val="06E876EC"/>
    <w:rsid w:val="07EC336C"/>
    <w:rsid w:val="080C79F7"/>
    <w:rsid w:val="08432398"/>
    <w:rsid w:val="089A70D3"/>
    <w:rsid w:val="089B434B"/>
    <w:rsid w:val="09434F56"/>
    <w:rsid w:val="09605A94"/>
    <w:rsid w:val="0BCF6E0C"/>
    <w:rsid w:val="0CD13897"/>
    <w:rsid w:val="0ED74319"/>
    <w:rsid w:val="0F3A63D8"/>
    <w:rsid w:val="100F45D2"/>
    <w:rsid w:val="105459F7"/>
    <w:rsid w:val="10BF63C8"/>
    <w:rsid w:val="11A23A0D"/>
    <w:rsid w:val="11CA7B29"/>
    <w:rsid w:val="12395141"/>
    <w:rsid w:val="126867E2"/>
    <w:rsid w:val="128D2B22"/>
    <w:rsid w:val="138F2E77"/>
    <w:rsid w:val="13DB074A"/>
    <w:rsid w:val="14AF79F5"/>
    <w:rsid w:val="14BA2011"/>
    <w:rsid w:val="14DF2734"/>
    <w:rsid w:val="14ED6ADB"/>
    <w:rsid w:val="15A816F2"/>
    <w:rsid w:val="16DD189B"/>
    <w:rsid w:val="17351C7D"/>
    <w:rsid w:val="17E00A2F"/>
    <w:rsid w:val="1957158C"/>
    <w:rsid w:val="1AE85E9E"/>
    <w:rsid w:val="1B2269B3"/>
    <w:rsid w:val="1B2F03D6"/>
    <w:rsid w:val="1BDC4ABE"/>
    <w:rsid w:val="1C461360"/>
    <w:rsid w:val="1C620C3E"/>
    <w:rsid w:val="1CBD2935"/>
    <w:rsid w:val="1CD938E5"/>
    <w:rsid w:val="1D117F09"/>
    <w:rsid w:val="1D6D1AE6"/>
    <w:rsid w:val="1D872250"/>
    <w:rsid w:val="1D965F49"/>
    <w:rsid w:val="1DC3249A"/>
    <w:rsid w:val="1DCF70C0"/>
    <w:rsid w:val="1E7A2069"/>
    <w:rsid w:val="1FE53B87"/>
    <w:rsid w:val="20032305"/>
    <w:rsid w:val="208041A1"/>
    <w:rsid w:val="21714A68"/>
    <w:rsid w:val="2184295E"/>
    <w:rsid w:val="22444A69"/>
    <w:rsid w:val="230D4AB1"/>
    <w:rsid w:val="23EB55C0"/>
    <w:rsid w:val="245C6B26"/>
    <w:rsid w:val="24BF0FA9"/>
    <w:rsid w:val="24CA09A9"/>
    <w:rsid w:val="24D70BF9"/>
    <w:rsid w:val="24EA4969"/>
    <w:rsid w:val="25922E9D"/>
    <w:rsid w:val="25AC167F"/>
    <w:rsid w:val="26B36F3D"/>
    <w:rsid w:val="279B3B4A"/>
    <w:rsid w:val="28396229"/>
    <w:rsid w:val="29B526B0"/>
    <w:rsid w:val="29F66D29"/>
    <w:rsid w:val="29FE10C1"/>
    <w:rsid w:val="2A220961"/>
    <w:rsid w:val="2A8862E6"/>
    <w:rsid w:val="2B300088"/>
    <w:rsid w:val="2C1E2BA9"/>
    <w:rsid w:val="2C2C251E"/>
    <w:rsid w:val="2C6209FF"/>
    <w:rsid w:val="2F9F5FEF"/>
    <w:rsid w:val="308031AF"/>
    <w:rsid w:val="30AD2E8A"/>
    <w:rsid w:val="30AE7A0A"/>
    <w:rsid w:val="311504CA"/>
    <w:rsid w:val="313B1291"/>
    <w:rsid w:val="32D9375D"/>
    <w:rsid w:val="331A07AC"/>
    <w:rsid w:val="33FD56A8"/>
    <w:rsid w:val="348D4DEB"/>
    <w:rsid w:val="35A771B0"/>
    <w:rsid w:val="35FA0735"/>
    <w:rsid w:val="35FD369D"/>
    <w:rsid w:val="360954D6"/>
    <w:rsid w:val="373F3DD0"/>
    <w:rsid w:val="37831318"/>
    <w:rsid w:val="387D3CB4"/>
    <w:rsid w:val="389668C1"/>
    <w:rsid w:val="389B0675"/>
    <w:rsid w:val="38F577FA"/>
    <w:rsid w:val="39132FF8"/>
    <w:rsid w:val="3A262EBA"/>
    <w:rsid w:val="3A277FA2"/>
    <w:rsid w:val="3B7133A2"/>
    <w:rsid w:val="3C6E3981"/>
    <w:rsid w:val="3D133CE5"/>
    <w:rsid w:val="3D3E024E"/>
    <w:rsid w:val="3E016E49"/>
    <w:rsid w:val="3E184A3C"/>
    <w:rsid w:val="3E281AE1"/>
    <w:rsid w:val="3FBB65F8"/>
    <w:rsid w:val="3FE71697"/>
    <w:rsid w:val="3FFA2FF7"/>
    <w:rsid w:val="412A54D8"/>
    <w:rsid w:val="412C1423"/>
    <w:rsid w:val="41DC7D41"/>
    <w:rsid w:val="426B79C9"/>
    <w:rsid w:val="42915949"/>
    <w:rsid w:val="42A074AD"/>
    <w:rsid w:val="432D411E"/>
    <w:rsid w:val="43EE25D4"/>
    <w:rsid w:val="440F2C94"/>
    <w:rsid w:val="441F6658"/>
    <w:rsid w:val="44C2578E"/>
    <w:rsid w:val="461659F9"/>
    <w:rsid w:val="461F6048"/>
    <w:rsid w:val="46357378"/>
    <w:rsid w:val="464E1C7A"/>
    <w:rsid w:val="46C4610A"/>
    <w:rsid w:val="46D96B06"/>
    <w:rsid w:val="4729368E"/>
    <w:rsid w:val="473655F0"/>
    <w:rsid w:val="47D92057"/>
    <w:rsid w:val="484D52F1"/>
    <w:rsid w:val="485642D2"/>
    <w:rsid w:val="487A412A"/>
    <w:rsid w:val="493E36F0"/>
    <w:rsid w:val="4A3607E8"/>
    <w:rsid w:val="4A585290"/>
    <w:rsid w:val="4AF558A7"/>
    <w:rsid w:val="4C143D6F"/>
    <w:rsid w:val="4C384749"/>
    <w:rsid w:val="4C7A057D"/>
    <w:rsid w:val="4D8B25AA"/>
    <w:rsid w:val="4E5A7B57"/>
    <w:rsid w:val="4EA54716"/>
    <w:rsid w:val="4EF1171A"/>
    <w:rsid w:val="4F084330"/>
    <w:rsid w:val="4F32408A"/>
    <w:rsid w:val="4F8E7852"/>
    <w:rsid w:val="50262B46"/>
    <w:rsid w:val="50CF04C2"/>
    <w:rsid w:val="51E43E4C"/>
    <w:rsid w:val="528A4003"/>
    <w:rsid w:val="52C37753"/>
    <w:rsid w:val="53270B95"/>
    <w:rsid w:val="543E6A20"/>
    <w:rsid w:val="54797C26"/>
    <w:rsid w:val="54CF1C3B"/>
    <w:rsid w:val="56F25DDA"/>
    <w:rsid w:val="583F6C58"/>
    <w:rsid w:val="58853DD9"/>
    <w:rsid w:val="59EC5FF4"/>
    <w:rsid w:val="5ABE3B64"/>
    <w:rsid w:val="5B44174A"/>
    <w:rsid w:val="5B863C86"/>
    <w:rsid w:val="5B8E5D15"/>
    <w:rsid w:val="5F060F63"/>
    <w:rsid w:val="5F3A31CA"/>
    <w:rsid w:val="5F7345AD"/>
    <w:rsid w:val="5F734D53"/>
    <w:rsid w:val="5FC82A4A"/>
    <w:rsid w:val="6000523B"/>
    <w:rsid w:val="605DED8A"/>
    <w:rsid w:val="610E149F"/>
    <w:rsid w:val="61150C2E"/>
    <w:rsid w:val="61EF21E5"/>
    <w:rsid w:val="62336953"/>
    <w:rsid w:val="63F41B7D"/>
    <w:rsid w:val="64A77807"/>
    <w:rsid w:val="65ED720D"/>
    <w:rsid w:val="666F1CD7"/>
    <w:rsid w:val="67136E10"/>
    <w:rsid w:val="6749108B"/>
    <w:rsid w:val="676D59F6"/>
    <w:rsid w:val="686228E8"/>
    <w:rsid w:val="696F3C15"/>
    <w:rsid w:val="6987582F"/>
    <w:rsid w:val="69A54369"/>
    <w:rsid w:val="69A97B13"/>
    <w:rsid w:val="69BF4919"/>
    <w:rsid w:val="69DF37EC"/>
    <w:rsid w:val="6C3525EB"/>
    <w:rsid w:val="6D857AFD"/>
    <w:rsid w:val="6ED023AE"/>
    <w:rsid w:val="6F4052BB"/>
    <w:rsid w:val="6F6D4A32"/>
    <w:rsid w:val="6F736566"/>
    <w:rsid w:val="6FAB4125"/>
    <w:rsid w:val="6FB303D4"/>
    <w:rsid w:val="6FE07617"/>
    <w:rsid w:val="6FE91D0E"/>
    <w:rsid w:val="6FF93C79"/>
    <w:rsid w:val="6FFB083B"/>
    <w:rsid w:val="703250E1"/>
    <w:rsid w:val="706C3CFB"/>
    <w:rsid w:val="71637DAD"/>
    <w:rsid w:val="71E43B28"/>
    <w:rsid w:val="724232F6"/>
    <w:rsid w:val="73726385"/>
    <w:rsid w:val="7461061B"/>
    <w:rsid w:val="74803115"/>
    <w:rsid w:val="74977D03"/>
    <w:rsid w:val="76BC3F1E"/>
    <w:rsid w:val="770317B0"/>
    <w:rsid w:val="77FD7A62"/>
    <w:rsid w:val="79136CFF"/>
    <w:rsid w:val="79957A5B"/>
    <w:rsid w:val="79EF23FD"/>
    <w:rsid w:val="7BBC5F40"/>
    <w:rsid w:val="7DDF7FCE"/>
    <w:rsid w:val="7E111E3F"/>
    <w:rsid w:val="7E5722FA"/>
    <w:rsid w:val="7E581580"/>
    <w:rsid w:val="7E5F17FB"/>
    <w:rsid w:val="7EB31A19"/>
    <w:rsid w:val="7EDE406F"/>
    <w:rsid w:val="7F631BF0"/>
    <w:rsid w:val="7F931F4B"/>
    <w:rsid w:val="DFFDA70F"/>
    <w:rsid w:val="FBED7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iPriority="99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240" w:beforeLines="0" w:beforeAutospacing="0" w:after="240" w:afterLines="0" w:afterAutospacing="0" w:line="240" w:lineRule="exact"/>
      <w:jc w:val="center"/>
      <w:outlineLvl w:val="0"/>
    </w:pPr>
    <w:rPr>
      <w:rFonts w:eastAsia="微软雅黑" w:asciiTheme="minorAscii" w:hAnsiTheme="minorAscii"/>
      <w:b/>
      <w:kern w:val="44"/>
      <w:sz w:val="36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40" w:beforeLines="0" w:beforeAutospacing="0" w:after="120" w:afterLines="0" w:afterAutospacing="0" w:line="240" w:lineRule="auto"/>
      <w:jc w:val="left"/>
      <w:outlineLvl w:val="1"/>
    </w:pPr>
    <w:rPr>
      <w:rFonts w:ascii="Arial" w:hAnsi="Arial" w:eastAsia="微软雅黑"/>
      <w:b/>
      <w:sz w:val="28"/>
      <w:szCs w:val="21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9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rFonts w:ascii="DejaVu Sans" w:hAnsi="DejaVu Sans"/>
      <w:sz w:val="18"/>
    </w:rPr>
  </w:style>
  <w:style w:type="paragraph" w:styleId="7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800080"/>
      <w:u w:val="single"/>
    </w:rPr>
  </w:style>
  <w:style w:type="character" w:styleId="12">
    <w:name w:val="Hyperlink"/>
    <w:basedOn w:val="9"/>
    <w:qFormat/>
    <w:uiPriority w:val="0"/>
    <w:rPr>
      <w:color w:val="0000FF"/>
      <w:u w:val="single"/>
    </w:rPr>
  </w:style>
  <w:style w:type="character" w:styleId="13">
    <w:name w:val="annotation reference"/>
    <w:basedOn w:val="9"/>
    <w:unhideWhenUsed/>
    <w:qFormat/>
    <w:uiPriority w:val="99"/>
    <w:rPr>
      <w:sz w:val="21"/>
      <w:szCs w:val="21"/>
    </w:rPr>
  </w:style>
  <w:style w:type="character" w:customStyle="1" w:styleId="14">
    <w:name w:val="fontstyle01"/>
    <w:basedOn w:val="9"/>
    <w:qFormat/>
    <w:uiPriority w:val="0"/>
    <w:rPr>
      <w:rFonts w:ascii="MicrosoftYaHei" w:hAnsi="MicrosoftYaHei" w:eastAsia="MicrosoftYaHei" w:cs="MicrosoftYaHei"/>
      <w:color w:val="000000"/>
      <w:sz w:val="22"/>
      <w:szCs w:val="22"/>
    </w:rPr>
  </w:style>
  <w:style w:type="paragraph" w:customStyle="1" w:styleId="1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2020-07-17T07:10:00Z</dcterms:created>
  <dc:creator>sheji</dc:creator>
  <cp:lastModifiedBy>微淼</cp:lastModifiedBy>
  <dcterms:modified xsi:type="dcterms:W3CDTF">2020-09-03T11:22:53Z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